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lef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left"/>
        <w:textAlignment w:val="baseline"/>
        <w:rPr>
          <w:rFonts w:hint="eastAsia" w:eastAsia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学校食堂突出问题工作提示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一、决策环节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1.涉及食堂方面的重大决策事项是否存在违反“三重一大”决策程序的问题。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二、运营环节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.食堂在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购买劳务</w:t>
      </w:r>
      <w:r>
        <w:rPr>
          <w:rFonts w:hint="eastAsia" w:ascii="仿宋_GB2312" w:hAnsi="仿宋_GB2312" w:eastAsia="仿宋_GB2312" w:cs="仿宋_GB2312"/>
          <w:sz w:val="32"/>
          <w:szCs w:val="32"/>
        </w:rPr>
        <w:t>、物资采购、员工招录等工作中是否存在弄虚作假、签阴阳合同等问题。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、加工环节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是否严格落实食堂“十统一、六到位”管理，开封食材溯源码张贴是否到位。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.是否实施明厨亮灶，将本校食堂操作间监控设备视频信号接入监控系统；是否按规范对设施设备进行维修保养。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、监管环节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.学校食品安全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总监、安全员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以及相关责任人是否履职到位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是否存在监管漏洞，食品安全是否存在风险点等问题。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.学校监管负责人与服务对象是否存在利益关联，是否存在接受吃请、收受财物、谋取私利等问题。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.领导干部和有关负责人是否违规插手、干预食堂领域相关事宜，是否存在为近亲属或特定关系人说情打招呼等问题，是否存在违规在食堂承包商、物资供货商处从业并领取报酬或违规入股等问题。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.后勤干部是否存在履职时间长、长期未交流、人员梯队和能力素质与工作不匹配等滋生腐败隐患的问题。</w:t>
      </w:r>
    </w:p>
    <w:p>
      <w:pPr>
        <w:pStyle w:val="2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9.膳食监督家长委员会是否定期开展工作，并反馈存在问题。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.食堂运营重要岗位人员是否存在不轮岗、不回避情况，是否存在采购、验收、出入库等重要岗位均由亲友负责，形成利益小团体隐患的问题。</w:t>
      </w: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B56F3"/>
    <w:rsid w:val="1BB129B4"/>
    <w:rsid w:val="331B56F3"/>
    <w:rsid w:val="36215A9B"/>
    <w:rsid w:val="395B07A3"/>
    <w:rsid w:val="3BA9203C"/>
    <w:rsid w:val="497119FC"/>
    <w:rsid w:val="68C8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2024-06-13T09:08:00Z</dcterms:created>
  <dc:creator>Administrator</dc:creator>
  <cp:lastModifiedBy>Unique</cp:lastModifiedBy>
  <dcterms:modified xsi:type="dcterms:W3CDTF">2025-03-27T02:05:12Z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